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2" w:rsidRPr="0070120C" w:rsidRDefault="00417D72" w:rsidP="00417D72">
      <w:pPr>
        <w:ind w:left="360"/>
        <w:jc w:val="center"/>
        <w:rPr>
          <w:b/>
          <w:u w:val="single"/>
          <w:lang w:val="pl-PL"/>
        </w:rPr>
      </w:pPr>
      <w:r w:rsidRPr="0070120C">
        <w:rPr>
          <w:b/>
          <w:u w:val="single"/>
          <w:lang w:val="pl-PL"/>
        </w:rPr>
        <w:t>Studia II stopnia niestacjonarne zaoczne na kierunku Filologia romańska</w:t>
      </w:r>
    </w:p>
    <w:p w:rsidR="00417D72" w:rsidRPr="00417D72" w:rsidRDefault="00417D72" w:rsidP="00417D72">
      <w:pPr>
        <w:ind w:left="360"/>
        <w:jc w:val="center"/>
        <w:rPr>
          <w:b/>
          <w:u w:val="single"/>
          <w:lang w:val="pl-PL"/>
        </w:rPr>
      </w:pPr>
      <w:r w:rsidRPr="00417D72">
        <w:rPr>
          <w:b/>
          <w:u w:val="single"/>
          <w:lang w:val="pl-PL"/>
        </w:rPr>
        <w:t>Plan studiów 2013/2014</w:t>
      </w:r>
    </w:p>
    <w:p w:rsidR="00417D72" w:rsidRDefault="00417D72" w:rsidP="00417D72">
      <w:pPr>
        <w:pStyle w:val="Nagwek2"/>
        <w:ind w:left="360"/>
      </w:pPr>
      <w:r>
        <w:t xml:space="preserve">ROK  I </w:t>
      </w:r>
    </w:p>
    <w:p w:rsidR="00417D72" w:rsidRDefault="00417D72" w:rsidP="00417D72">
      <w:pPr>
        <w:pStyle w:val="Nagwek1"/>
        <w:ind w:left="360"/>
        <w:rPr>
          <w:b/>
        </w:rPr>
      </w:pPr>
      <w:r>
        <w:rPr>
          <w:b/>
        </w:rPr>
        <w:t>Semestr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1"/>
        <w:gridCol w:w="900"/>
        <w:gridCol w:w="1080"/>
        <w:gridCol w:w="900"/>
        <w:gridCol w:w="1440"/>
        <w:gridCol w:w="893"/>
      </w:tblGrid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Nazwa przedmiotu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Wykład</w:t>
            </w:r>
          </w:p>
        </w:tc>
        <w:tc>
          <w:tcPr>
            <w:tcW w:w="1080" w:type="dxa"/>
          </w:tcPr>
          <w:p w:rsidR="00417D72" w:rsidRDefault="00417D72" w:rsidP="007F545A">
            <w:pPr>
              <w:pStyle w:val="Nagwek6"/>
              <w:ind w:left="360"/>
            </w:pPr>
            <w:r>
              <w:t>Ćwiczenia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konw.</w:t>
            </w:r>
          </w:p>
        </w:tc>
        <w:tc>
          <w:tcPr>
            <w:tcW w:w="144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forma zal.</w:t>
            </w:r>
          </w:p>
        </w:tc>
        <w:tc>
          <w:tcPr>
            <w:tcW w:w="893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ECTS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 xml:space="preserve">Francja współczesna 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Wybrane zagadnienia gramatyczne  na podstawie francuskich tekstów pisanych i mówionych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Nowe tendencje w glottodydaktyce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4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Tradycyjne i nowe metodologie w badaniach literackich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egzamin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Zarys historii filozofii francuskiej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4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 xml:space="preserve">seminarium magisterskie* 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8</w:t>
            </w:r>
          </w:p>
        </w:tc>
      </w:tr>
    </w:tbl>
    <w:p w:rsidR="00417D72" w:rsidRDefault="00417D72" w:rsidP="00417D72">
      <w:pPr>
        <w:pStyle w:val="Legenda"/>
        <w:ind w:left="360"/>
        <w:rPr>
          <w:sz w:val="24"/>
          <w:u w:val="none"/>
        </w:rPr>
      </w:pPr>
      <w:r>
        <w:rPr>
          <w:sz w:val="24"/>
          <w:u w:val="none"/>
        </w:rPr>
        <w:t>Łącznie w semestrze: 168 godzin, pkt. ECTS 31</w:t>
      </w:r>
    </w:p>
    <w:p w:rsidR="00417D72" w:rsidRDefault="00417D72" w:rsidP="00417D72">
      <w:pPr>
        <w:ind w:left="360"/>
      </w:pPr>
    </w:p>
    <w:p w:rsidR="00417D72" w:rsidRDefault="00417D72" w:rsidP="00417D72">
      <w:pPr>
        <w:pStyle w:val="Nagwek1"/>
        <w:ind w:left="360"/>
        <w:rPr>
          <w:b/>
        </w:rPr>
      </w:pPr>
      <w:r>
        <w:rPr>
          <w:b/>
        </w:rPr>
        <w:t>Semestr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1"/>
        <w:gridCol w:w="900"/>
        <w:gridCol w:w="1080"/>
        <w:gridCol w:w="900"/>
        <w:gridCol w:w="1440"/>
        <w:gridCol w:w="893"/>
      </w:tblGrid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Nazwa przedmiotu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Wykład</w:t>
            </w:r>
          </w:p>
        </w:tc>
        <w:tc>
          <w:tcPr>
            <w:tcW w:w="1080" w:type="dxa"/>
          </w:tcPr>
          <w:p w:rsidR="00417D72" w:rsidRDefault="00417D72" w:rsidP="007F545A">
            <w:pPr>
              <w:pStyle w:val="Nagwek6"/>
              <w:ind w:left="360"/>
            </w:pPr>
            <w:r>
              <w:t>Ćwiczenia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konw.</w:t>
            </w:r>
          </w:p>
        </w:tc>
        <w:tc>
          <w:tcPr>
            <w:tcW w:w="144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forma zal.</w:t>
            </w:r>
          </w:p>
        </w:tc>
        <w:tc>
          <w:tcPr>
            <w:tcW w:w="893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ECTS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 xml:space="preserve">Francja współczesna 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Wybrane zagadnienia gramatyczne  na podstawie francuskich tekstów pisanych i mówionych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 xml:space="preserve">Tradycyjne i nowe metodologie w badaniach językoznawczych 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egzamin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 xml:space="preserve">Wybrane zagadnienia z kultury Francji i państw francuskiego obszaru językowego 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zal.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4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Wykład monograficzny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2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Seminarium magisterskie*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8</w:t>
            </w:r>
          </w:p>
        </w:tc>
      </w:tr>
    </w:tbl>
    <w:p w:rsidR="00417D72" w:rsidRDefault="00417D72" w:rsidP="00417D72">
      <w:pPr>
        <w:pStyle w:val="Legenda"/>
        <w:ind w:left="360"/>
        <w:rPr>
          <w:sz w:val="24"/>
          <w:u w:val="none"/>
        </w:rPr>
      </w:pPr>
      <w:r>
        <w:rPr>
          <w:sz w:val="24"/>
          <w:u w:val="none"/>
        </w:rPr>
        <w:t>Łącznie w semestrze: 168 godzin, pkt. ECTS 29</w:t>
      </w:r>
    </w:p>
    <w:p w:rsidR="00417D72" w:rsidRPr="00417D72" w:rsidRDefault="00417D72" w:rsidP="00417D72">
      <w:pPr>
        <w:ind w:left="360"/>
        <w:rPr>
          <w:lang w:val="pl-PL"/>
        </w:rPr>
      </w:pPr>
    </w:p>
    <w:p w:rsidR="00417D72" w:rsidRDefault="00417D72" w:rsidP="00417D72">
      <w:pPr>
        <w:pStyle w:val="Nagwek3"/>
        <w:ind w:left="360"/>
      </w:pPr>
      <w:r>
        <w:t>Łącznie I rok :  336 godzin  i  60 ECTS</w:t>
      </w:r>
    </w:p>
    <w:p w:rsidR="00417D72" w:rsidRPr="0070120C" w:rsidRDefault="00417D72" w:rsidP="00417D72">
      <w:pPr>
        <w:ind w:left="360"/>
        <w:rPr>
          <w:lang w:val="pl-PL"/>
        </w:rPr>
      </w:pPr>
    </w:p>
    <w:p w:rsidR="00417D72" w:rsidRDefault="00417D72" w:rsidP="00417D72">
      <w:pPr>
        <w:pStyle w:val="Nagwek2"/>
        <w:ind w:left="360"/>
      </w:pPr>
      <w:r>
        <w:t>ROK II</w:t>
      </w:r>
    </w:p>
    <w:p w:rsidR="00417D72" w:rsidRDefault="00417D72" w:rsidP="00417D72">
      <w:pPr>
        <w:pStyle w:val="Nagwek1"/>
        <w:ind w:left="360"/>
        <w:rPr>
          <w:b/>
        </w:rPr>
      </w:pPr>
      <w:r>
        <w:rPr>
          <w:b/>
        </w:rPr>
        <w:lastRenderedPageBreak/>
        <w:t>Semestr III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1"/>
        <w:gridCol w:w="900"/>
        <w:gridCol w:w="1080"/>
        <w:gridCol w:w="900"/>
        <w:gridCol w:w="1440"/>
        <w:gridCol w:w="893"/>
      </w:tblGrid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Nazwa przedmiotu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Wykład</w:t>
            </w: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ćwiczenia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konw.</w:t>
            </w:r>
          </w:p>
        </w:tc>
        <w:tc>
          <w:tcPr>
            <w:tcW w:w="144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forma zal.</w:t>
            </w:r>
          </w:p>
        </w:tc>
        <w:tc>
          <w:tcPr>
            <w:tcW w:w="893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ECTS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 xml:space="preserve">Doskonalenie i wzbogacanie zasobu słownictwa tematycznie specjalistycznego 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Wybrane zagadnienia literackie lub językoznawcze*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28.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4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Seminarium specjalistyczne literackie lub językoznawcze/dydaktyczne*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Wykład monograficzny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2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Przedmiot ogólnouniwersytecki*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2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Seminarium magisterskie (w tym przygotowanie części pracy magisterskiej 7 pkt ECTS)*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13</w:t>
            </w:r>
          </w:p>
        </w:tc>
      </w:tr>
    </w:tbl>
    <w:p w:rsidR="00417D72" w:rsidRDefault="00417D72" w:rsidP="00417D72">
      <w:pPr>
        <w:pStyle w:val="Legenda"/>
        <w:ind w:left="360"/>
        <w:rPr>
          <w:sz w:val="24"/>
          <w:u w:val="none"/>
        </w:rPr>
      </w:pPr>
      <w:r>
        <w:rPr>
          <w:sz w:val="24"/>
          <w:u w:val="none"/>
        </w:rPr>
        <w:t>Łącznie w semestrze: 170 godzin, pkt. ECTS 31</w:t>
      </w:r>
    </w:p>
    <w:p w:rsidR="00417D72" w:rsidRDefault="00417D72" w:rsidP="00417D72">
      <w:pPr>
        <w:ind w:left="360"/>
      </w:pPr>
    </w:p>
    <w:p w:rsidR="00417D72" w:rsidRDefault="00417D72" w:rsidP="00417D72">
      <w:pPr>
        <w:pStyle w:val="Nagwek1"/>
        <w:ind w:left="360"/>
      </w:pPr>
      <w:r>
        <w:t>Semestr IV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1"/>
        <w:gridCol w:w="900"/>
        <w:gridCol w:w="1080"/>
        <w:gridCol w:w="900"/>
        <w:gridCol w:w="1440"/>
        <w:gridCol w:w="893"/>
      </w:tblGrid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Nazwa przedmiotu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Wykład</w:t>
            </w: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ćwiczenia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konw.</w:t>
            </w:r>
          </w:p>
        </w:tc>
        <w:tc>
          <w:tcPr>
            <w:tcW w:w="1440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forma zal.</w:t>
            </w:r>
          </w:p>
        </w:tc>
        <w:tc>
          <w:tcPr>
            <w:tcW w:w="893" w:type="dxa"/>
          </w:tcPr>
          <w:p w:rsidR="00417D72" w:rsidRPr="0070120C" w:rsidRDefault="00417D72" w:rsidP="007F545A">
            <w:pPr>
              <w:ind w:left="360"/>
              <w:jc w:val="center"/>
              <w:rPr>
                <w:b/>
              </w:rPr>
            </w:pPr>
            <w:r w:rsidRPr="0070120C">
              <w:rPr>
                <w:b/>
              </w:rPr>
              <w:t>ECTS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 xml:space="preserve">Doskonalenie i wzbogacanie zasobu słownictwa tematycznie specjalistycznego 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egzamin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Seminarium specjalistyczne literackie lub językoznawcze/dydaktyczne*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5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Default="00417D72" w:rsidP="007F545A">
            <w:pPr>
              <w:ind w:left="360"/>
            </w:pPr>
            <w:r>
              <w:t>Wykład monograficzny</w:t>
            </w: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 na ocenę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2</w:t>
            </w:r>
          </w:p>
        </w:tc>
      </w:tr>
      <w:tr w:rsidR="00417D72" w:rsidTr="007F5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</w:tcPr>
          <w:p w:rsidR="00417D72" w:rsidRPr="0070120C" w:rsidRDefault="00417D72" w:rsidP="007F545A">
            <w:pPr>
              <w:ind w:left="360"/>
              <w:rPr>
                <w:lang w:val="pl-PL"/>
              </w:rPr>
            </w:pPr>
            <w:r w:rsidRPr="0070120C">
              <w:rPr>
                <w:lang w:val="pl-PL"/>
              </w:rPr>
              <w:t>Seminarium magisterskie (w tym przygotowanie całej pracy magisterskiej 13 pkt ECTS)*</w:t>
            </w:r>
          </w:p>
        </w:tc>
        <w:tc>
          <w:tcPr>
            <w:tcW w:w="90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417D72" w:rsidRPr="0070120C" w:rsidRDefault="00417D72" w:rsidP="007F545A">
            <w:pPr>
              <w:ind w:left="360"/>
              <w:jc w:val="center"/>
              <w:rPr>
                <w:lang w:val="pl-PL"/>
              </w:rPr>
            </w:pPr>
          </w:p>
        </w:tc>
        <w:tc>
          <w:tcPr>
            <w:tcW w:w="900" w:type="dxa"/>
          </w:tcPr>
          <w:p w:rsidR="00417D72" w:rsidRDefault="00417D72" w:rsidP="007F545A">
            <w:pPr>
              <w:ind w:left="360"/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417D72" w:rsidRDefault="00417D72" w:rsidP="007F545A">
            <w:pPr>
              <w:ind w:left="360"/>
              <w:jc w:val="center"/>
            </w:pPr>
            <w:r>
              <w:t>zal</w:t>
            </w:r>
          </w:p>
        </w:tc>
        <w:tc>
          <w:tcPr>
            <w:tcW w:w="893" w:type="dxa"/>
          </w:tcPr>
          <w:p w:rsidR="00417D72" w:rsidRDefault="00417D72" w:rsidP="007F545A">
            <w:pPr>
              <w:ind w:left="360"/>
              <w:jc w:val="center"/>
            </w:pPr>
            <w:r>
              <w:t>17</w:t>
            </w:r>
          </w:p>
        </w:tc>
      </w:tr>
    </w:tbl>
    <w:p w:rsidR="00417D72" w:rsidRDefault="00417D72" w:rsidP="00417D72">
      <w:pPr>
        <w:pStyle w:val="Legenda"/>
        <w:ind w:left="360"/>
        <w:rPr>
          <w:sz w:val="24"/>
          <w:u w:val="none"/>
        </w:rPr>
      </w:pPr>
      <w:r>
        <w:rPr>
          <w:sz w:val="24"/>
          <w:u w:val="none"/>
        </w:rPr>
        <w:t>Łącznie w semestrze: 64 godziny, pkt. ECTS 29</w:t>
      </w:r>
    </w:p>
    <w:p w:rsidR="00417D72" w:rsidRPr="00417D72" w:rsidRDefault="00417D72" w:rsidP="00417D72">
      <w:pPr>
        <w:ind w:left="360"/>
        <w:rPr>
          <w:b/>
          <w:lang w:val="pl-PL"/>
        </w:rPr>
      </w:pPr>
    </w:p>
    <w:p w:rsidR="00417D72" w:rsidRDefault="00417D72" w:rsidP="00417D72">
      <w:pPr>
        <w:pStyle w:val="Nagwek3"/>
        <w:ind w:left="360"/>
      </w:pPr>
      <w:r>
        <w:t>Łącznie II rok :  234 godzin  i  60 ECTS</w:t>
      </w:r>
    </w:p>
    <w:p w:rsidR="00417D72" w:rsidRPr="0070120C" w:rsidRDefault="00417D72" w:rsidP="00417D72">
      <w:pPr>
        <w:ind w:left="360"/>
        <w:rPr>
          <w:b/>
          <w:lang w:val="pl-PL"/>
        </w:rPr>
      </w:pPr>
    </w:p>
    <w:p w:rsidR="00417D72" w:rsidRPr="0070120C" w:rsidRDefault="00417D72" w:rsidP="00417D72">
      <w:pPr>
        <w:ind w:left="360"/>
        <w:rPr>
          <w:b/>
          <w:lang w:val="pl-PL"/>
        </w:rPr>
      </w:pPr>
      <w:r w:rsidRPr="0070120C">
        <w:rPr>
          <w:b/>
          <w:lang w:val="pl-PL"/>
        </w:rPr>
        <w:t xml:space="preserve">Łącznie I </w:t>
      </w:r>
      <w:proofErr w:type="spellStart"/>
      <w:r w:rsidRPr="0070120C">
        <w:rPr>
          <w:b/>
          <w:lang w:val="pl-PL"/>
        </w:rPr>
        <w:t>i</w:t>
      </w:r>
      <w:proofErr w:type="spellEnd"/>
      <w:r w:rsidRPr="0070120C">
        <w:rPr>
          <w:b/>
          <w:lang w:val="pl-PL"/>
        </w:rPr>
        <w:t xml:space="preserve"> II rok : 570 godzin i 120 punktów ECTS </w:t>
      </w:r>
    </w:p>
    <w:p w:rsidR="00417D72" w:rsidRPr="0070120C" w:rsidRDefault="00417D72" w:rsidP="00417D72">
      <w:pPr>
        <w:ind w:left="360"/>
        <w:rPr>
          <w:b/>
          <w:lang w:val="pl-PL"/>
        </w:rPr>
      </w:pPr>
    </w:p>
    <w:p w:rsidR="00417D72" w:rsidRPr="00417D72" w:rsidRDefault="00417D72" w:rsidP="00417D72">
      <w:pPr>
        <w:spacing w:after="120"/>
        <w:ind w:left="360"/>
        <w:jc w:val="both"/>
        <w:rPr>
          <w:b/>
          <w:lang w:val="pl-PL"/>
        </w:rPr>
      </w:pPr>
      <w:r w:rsidRPr="00417D72">
        <w:rPr>
          <w:b/>
          <w:lang w:val="pl-PL"/>
        </w:rPr>
        <w:t>Uwagi</w:t>
      </w:r>
    </w:p>
    <w:p w:rsidR="00417D72" w:rsidRPr="0070120C" w:rsidRDefault="00417D72" w:rsidP="00417D72">
      <w:pPr>
        <w:spacing w:after="120"/>
        <w:ind w:left="360"/>
        <w:jc w:val="both"/>
        <w:rPr>
          <w:lang w:val="pl-PL"/>
        </w:rPr>
      </w:pPr>
      <w:r w:rsidRPr="0070120C">
        <w:rPr>
          <w:lang w:val="pl-PL"/>
        </w:rPr>
        <w:t>1. Zajęcia do wyboru oznaczone są w planie studiów gwiazdką (*).</w:t>
      </w:r>
    </w:p>
    <w:p w:rsidR="00417D72" w:rsidRPr="0070120C" w:rsidRDefault="00417D72" w:rsidP="00417D72">
      <w:pPr>
        <w:ind w:left="360"/>
        <w:rPr>
          <w:b/>
          <w:lang w:val="pl-PL"/>
        </w:rPr>
      </w:pPr>
    </w:p>
    <w:p w:rsidR="00417D72" w:rsidRDefault="00417D72" w:rsidP="00417D72">
      <w:pPr>
        <w:pStyle w:val="NormalWeb"/>
        <w:spacing w:before="0" w:after="0"/>
        <w:ind w:left="360"/>
      </w:pPr>
      <w:r>
        <w:rPr>
          <w:b/>
        </w:rPr>
        <w:t>Semestr V</w:t>
      </w:r>
      <w:r>
        <w:t xml:space="preserve"> – konsultacje magisterskie (bez punktów ECTS), jeśli student nie przygotuje całej pracy magisterskiej do końca IV semestru.</w:t>
      </w:r>
    </w:p>
    <w:p w:rsidR="00417D72" w:rsidRPr="0070120C" w:rsidRDefault="00417D72" w:rsidP="00417D72">
      <w:pPr>
        <w:ind w:left="360"/>
        <w:rPr>
          <w:b/>
          <w:u w:val="single"/>
          <w:lang w:val="pl-PL"/>
        </w:rPr>
      </w:pPr>
    </w:p>
    <w:p w:rsidR="00417D72" w:rsidRPr="0070120C" w:rsidRDefault="00417D72" w:rsidP="00417D72">
      <w:pPr>
        <w:spacing w:after="200" w:line="276" w:lineRule="auto"/>
        <w:ind w:left="360"/>
        <w:rPr>
          <w:rFonts w:eastAsia="Arial Unicode MS"/>
          <w:lang w:val="pl-PL"/>
        </w:rPr>
      </w:pPr>
      <w:r w:rsidRPr="0070120C">
        <w:rPr>
          <w:rFonts w:eastAsia="Arial Unicode MS"/>
          <w:lang w:val="pl-PL"/>
        </w:rPr>
        <w:lastRenderedPageBreak/>
        <w:t>Łączna liczba punktów ECTS, którą student musi uzyskać na zajęciach wymagających bezpośredniego udziału nauczycieli akademickich i studentów: 100 ECTS</w:t>
      </w:r>
    </w:p>
    <w:p w:rsidR="00417D72" w:rsidRDefault="00417D72" w:rsidP="00417D72">
      <w:pPr>
        <w:pStyle w:val="t1"/>
        <w:spacing w:before="0" w:after="0"/>
        <w:ind w:left="360"/>
        <w:rPr>
          <w:rFonts w:eastAsia="Arial Unicode MS"/>
          <w:color w:val="auto"/>
          <w:sz w:val="24"/>
        </w:rPr>
      </w:pPr>
      <w:r>
        <w:rPr>
          <w:rFonts w:eastAsia="Arial Unicode MS"/>
          <w:color w:val="auto"/>
          <w:sz w:val="24"/>
        </w:rPr>
        <w:t>Łączna liczba punktów, którą student musi uzyskać w ramach zajęć z zakresu nauk podstawowych, do których odnoszą się kierunkowe efekty kształcenia</w:t>
      </w:r>
    </w:p>
    <w:p w:rsidR="00417D72" w:rsidRDefault="00417D72" w:rsidP="00417D72">
      <w:pPr>
        <w:pStyle w:val="t1"/>
        <w:spacing w:before="0" w:after="0"/>
        <w:ind w:left="360"/>
        <w:rPr>
          <w:rFonts w:eastAsia="Arial Unicode MS"/>
          <w:color w:val="auto"/>
          <w:sz w:val="24"/>
        </w:rPr>
      </w:pPr>
      <w:r>
        <w:rPr>
          <w:rFonts w:eastAsia="Arial Unicode MS"/>
          <w:color w:val="auto"/>
          <w:sz w:val="24"/>
        </w:rPr>
        <w:t>Program podstawowy: 114 ECTS</w:t>
      </w:r>
    </w:p>
    <w:p w:rsidR="00417D72" w:rsidRDefault="00417D72" w:rsidP="00417D72">
      <w:pPr>
        <w:pStyle w:val="t1"/>
        <w:spacing w:before="0" w:after="0"/>
        <w:ind w:left="360"/>
        <w:rPr>
          <w:b/>
          <w:color w:val="auto"/>
          <w:sz w:val="24"/>
        </w:rPr>
      </w:pPr>
    </w:p>
    <w:p w:rsidR="00417D72" w:rsidRDefault="00417D72" w:rsidP="00417D72">
      <w:pPr>
        <w:pStyle w:val="t1"/>
        <w:spacing w:before="0" w:after="0"/>
        <w:ind w:left="360"/>
        <w:rPr>
          <w:rFonts w:eastAsia="Arial Unicode MS"/>
          <w:b/>
          <w:color w:val="auto"/>
          <w:sz w:val="24"/>
        </w:rPr>
      </w:pPr>
      <w:r>
        <w:rPr>
          <w:rFonts w:eastAsia="Arial Unicode MS"/>
          <w:b/>
          <w:color w:val="auto"/>
          <w:sz w:val="24"/>
        </w:rPr>
        <w:t>Uwzględnienie zapisów Uchwały nr 56 Senatu UW z dn. 22 lutego 2006 r. w sprawie udziału przedmiotów niezwiązanych z kierunkiem studiów :</w:t>
      </w:r>
    </w:p>
    <w:p w:rsidR="00417D72" w:rsidRDefault="00417D72" w:rsidP="00417D72">
      <w:pPr>
        <w:pStyle w:val="t1"/>
        <w:spacing w:before="0" w:after="0"/>
        <w:ind w:left="360"/>
        <w:rPr>
          <w:rFonts w:eastAsia="Arial Unicode MS"/>
          <w:b/>
          <w:color w:val="auto"/>
          <w:sz w:val="24"/>
        </w:rPr>
      </w:pPr>
    </w:p>
    <w:p w:rsidR="00417D72" w:rsidRDefault="00417D72" w:rsidP="00417D72">
      <w:pPr>
        <w:pStyle w:val="t1"/>
        <w:spacing w:before="0" w:after="0"/>
        <w:ind w:left="360"/>
        <w:rPr>
          <w:b/>
          <w:color w:val="auto"/>
          <w:sz w:val="24"/>
        </w:rPr>
      </w:pPr>
      <w:r>
        <w:rPr>
          <w:rFonts w:eastAsia="Arial Unicode MS"/>
          <w:b/>
          <w:color w:val="auto"/>
          <w:sz w:val="24"/>
        </w:rPr>
        <w:t xml:space="preserve">Program podstawowy: </w:t>
      </w:r>
      <w:r>
        <w:rPr>
          <w:rFonts w:eastAsia="Arial Unicode MS"/>
          <w:color w:val="auto"/>
          <w:sz w:val="24"/>
        </w:rPr>
        <w:t xml:space="preserve">przedmioty ogólnouniwersyteckie w wymiarze 6 punktów ECTS, co stanowi 5% całkowitej liczby punktów ECTS wymaganej planem studiów. </w:t>
      </w:r>
    </w:p>
    <w:p w:rsidR="000849F5" w:rsidRPr="00417D72" w:rsidRDefault="000849F5">
      <w:pPr>
        <w:rPr>
          <w:lang w:val="pl-PL"/>
        </w:rPr>
      </w:pPr>
      <w:bookmarkStart w:id="0" w:name="_GoBack"/>
      <w:bookmarkEnd w:id="0"/>
    </w:p>
    <w:sectPr w:rsidR="000849F5" w:rsidRPr="0041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2"/>
    <w:rsid w:val="000849F5"/>
    <w:rsid w:val="004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pl-PL"/>
    </w:rPr>
  </w:style>
  <w:style w:type="paragraph" w:styleId="Nagwek1">
    <w:name w:val="heading 1"/>
    <w:basedOn w:val="Normalny"/>
    <w:next w:val="Normalny"/>
    <w:link w:val="Nagwek1Znak"/>
    <w:qFormat/>
    <w:rsid w:val="00417D72"/>
    <w:pPr>
      <w:spacing w:before="480"/>
      <w:contextualSpacing/>
      <w:outlineLvl w:val="0"/>
    </w:pPr>
    <w:rPr>
      <w:rFonts w:ascii="Cambria" w:hAnsi="Cambria" w:cs="Arial"/>
      <w:smallCaps/>
      <w:spacing w:val="5"/>
      <w:sz w:val="36"/>
      <w:szCs w:val="36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7D72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17D72"/>
    <w:pPr>
      <w:spacing w:before="200" w:line="271" w:lineRule="auto"/>
      <w:outlineLvl w:val="2"/>
    </w:pPr>
    <w:rPr>
      <w:rFonts w:ascii="Cambria" w:hAnsi="Cambria" w:cs="Arial"/>
      <w:i/>
      <w:iCs/>
      <w:smallCaps/>
      <w:spacing w:val="5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17D7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D72"/>
    <w:rPr>
      <w:rFonts w:ascii="Cambria" w:eastAsia="Times New Roman" w:hAnsi="Cambria" w:cs="Arial"/>
      <w:smallCaps/>
      <w:spacing w:val="5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17D72"/>
    <w:rPr>
      <w:rFonts w:ascii="Cambria" w:eastAsia="Times New Roman" w:hAnsi="Cambria" w:cs="Times New Roman"/>
      <w:smallCap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7D72"/>
    <w:rPr>
      <w:rFonts w:ascii="Cambria" w:eastAsia="Times New Roman" w:hAnsi="Cambria" w:cs="Arial"/>
      <w:i/>
      <w:iCs/>
      <w:smallCaps/>
      <w:spacing w:val="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17D72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pl-PL"/>
    </w:rPr>
  </w:style>
  <w:style w:type="paragraph" w:styleId="Legenda">
    <w:name w:val="caption"/>
    <w:basedOn w:val="Normalny"/>
    <w:next w:val="Normalny"/>
    <w:qFormat/>
    <w:rsid w:val="00417D72"/>
    <w:rPr>
      <w:b/>
      <w:sz w:val="32"/>
      <w:szCs w:val="20"/>
      <w:u w:val="single"/>
      <w:lang w:val="pl-PL"/>
    </w:rPr>
  </w:style>
  <w:style w:type="paragraph" w:customStyle="1" w:styleId="t1">
    <w:name w:val="t1"/>
    <w:basedOn w:val="Normalny"/>
    <w:rsid w:val="00417D72"/>
    <w:pPr>
      <w:spacing w:before="100" w:after="100"/>
      <w:jc w:val="both"/>
    </w:pPr>
    <w:rPr>
      <w:color w:val="FFFFFF"/>
      <w:sz w:val="69"/>
      <w:szCs w:val="20"/>
      <w:lang w:val="pl-PL"/>
    </w:rPr>
  </w:style>
  <w:style w:type="paragraph" w:customStyle="1" w:styleId="NormalWeb">
    <w:name w:val="Normal (Web)"/>
    <w:basedOn w:val="Normalny"/>
    <w:rsid w:val="00417D72"/>
    <w:pPr>
      <w:spacing w:before="100" w:after="100"/>
    </w:pPr>
    <w:rPr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pl-PL"/>
    </w:rPr>
  </w:style>
  <w:style w:type="paragraph" w:styleId="Nagwek1">
    <w:name w:val="heading 1"/>
    <w:basedOn w:val="Normalny"/>
    <w:next w:val="Normalny"/>
    <w:link w:val="Nagwek1Znak"/>
    <w:qFormat/>
    <w:rsid w:val="00417D72"/>
    <w:pPr>
      <w:spacing w:before="480"/>
      <w:contextualSpacing/>
      <w:outlineLvl w:val="0"/>
    </w:pPr>
    <w:rPr>
      <w:rFonts w:ascii="Cambria" w:hAnsi="Cambria" w:cs="Arial"/>
      <w:smallCaps/>
      <w:spacing w:val="5"/>
      <w:sz w:val="36"/>
      <w:szCs w:val="36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7D72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17D72"/>
    <w:pPr>
      <w:spacing w:before="200" w:line="271" w:lineRule="auto"/>
      <w:outlineLvl w:val="2"/>
    </w:pPr>
    <w:rPr>
      <w:rFonts w:ascii="Cambria" w:hAnsi="Cambria" w:cs="Arial"/>
      <w:i/>
      <w:iCs/>
      <w:smallCaps/>
      <w:spacing w:val="5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17D7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D72"/>
    <w:rPr>
      <w:rFonts w:ascii="Cambria" w:eastAsia="Times New Roman" w:hAnsi="Cambria" w:cs="Arial"/>
      <w:smallCaps/>
      <w:spacing w:val="5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17D72"/>
    <w:rPr>
      <w:rFonts w:ascii="Cambria" w:eastAsia="Times New Roman" w:hAnsi="Cambria" w:cs="Times New Roman"/>
      <w:smallCap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7D72"/>
    <w:rPr>
      <w:rFonts w:ascii="Cambria" w:eastAsia="Times New Roman" w:hAnsi="Cambria" w:cs="Arial"/>
      <w:i/>
      <w:iCs/>
      <w:smallCaps/>
      <w:spacing w:val="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17D72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pl-PL"/>
    </w:rPr>
  </w:style>
  <w:style w:type="paragraph" w:styleId="Legenda">
    <w:name w:val="caption"/>
    <w:basedOn w:val="Normalny"/>
    <w:next w:val="Normalny"/>
    <w:qFormat/>
    <w:rsid w:val="00417D72"/>
    <w:rPr>
      <w:b/>
      <w:sz w:val="32"/>
      <w:szCs w:val="20"/>
      <w:u w:val="single"/>
      <w:lang w:val="pl-PL"/>
    </w:rPr>
  </w:style>
  <w:style w:type="paragraph" w:customStyle="1" w:styleId="t1">
    <w:name w:val="t1"/>
    <w:basedOn w:val="Normalny"/>
    <w:rsid w:val="00417D72"/>
    <w:pPr>
      <w:spacing w:before="100" w:after="100"/>
      <w:jc w:val="both"/>
    </w:pPr>
    <w:rPr>
      <w:color w:val="FFFFFF"/>
      <w:sz w:val="69"/>
      <w:szCs w:val="20"/>
      <w:lang w:val="pl-PL"/>
    </w:rPr>
  </w:style>
  <w:style w:type="paragraph" w:customStyle="1" w:styleId="NormalWeb">
    <w:name w:val="Normal (Web)"/>
    <w:basedOn w:val="Normalny"/>
    <w:rsid w:val="00417D72"/>
    <w:pPr>
      <w:spacing w:before="100" w:after="100"/>
    </w:pPr>
    <w:rPr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AF549F58.dotm</Template>
  <TotalTime>1</TotalTime>
  <Pages>3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Kubak</dc:creator>
  <cp:lastModifiedBy>Jarosław Kubak</cp:lastModifiedBy>
  <cp:revision>1</cp:revision>
  <dcterms:created xsi:type="dcterms:W3CDTF">2013-11-15T07:41:00Z</dcterms:created>
  <dcterms:modified xsi:type="dcterms:W3CDTF">2013-11-15T07:42:00Z</dcterms:modified>
</cp:coreProperties>
</file>